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line="240" w:lineRule="auto"/>
        <w:tabs>
          <w:tab w:val="left" w:pos="6195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Анализ работы </w:t>
      </w:r>
      <w:r/>
    </w:p>
    <w:p>
      <w:pPr>
        <w:ind w:left="0" w:right="0" w:firstLine="0"/>
        <w:jc w:val="center"/>
        <w:spacing w:after="0" w:line="240" w:lineRule="auto"/>
        <w:tabs>
          <w:tab w:val="left" w:pos="6195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МО учителей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–предметников основной школы</w:t>
      </w:r>
      <w:r/>
    </w:p>
    <w:p>
      <w:pPr>
        <w:ind w:left="0" w:right="0" w:firstLine="0"/>
        <w:jc w:val="center"/>
        <w:spacing w:after="0" w:line="240" w:lineRule="auto"/>
        <w:tabs>
          <w:tab w:val="left" w:pos="6195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21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-20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учебн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ый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год</w:t>
      </w:r>
      <w:r/>
    </w:p>
    <w:p>
      <w:pPr>
        <w:ind w:firstLine="851"/>
        <w:jc w:val="both"/>
        <w:spacing w:after="0" w:line="240" w:lineRule="auto"/>
        <w:tabs>
          <w:tab w:val="left" w:pos="619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средством повыше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педагогического мастерства учителей,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новые технологии, методики, приё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и формы обучения и воспитания.</w:t>
      </w:r>
      <w:r/>
    </w:p>
    <w:p>
      <w:pPr>
        <w:ind w:firstLine="851"/>
        <w:jc w:val="both"/>
        <w:spacing w:after="0" w:line="240" w:lineRule="auto"/>
        <w:tabs>
          <w:tab w:val="left" w:pos="619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Улучшение качества обучения и воспитания учащихся, повышение эффективности уроков и внеклассных мероприятий - это результат активной методической работы в школе.</w:t>
      </w:r>
      <w:r/>
    </w:p>
    <w:p>
      <w:pPr>
        <w:ind w:firstLine="851"/>
        <w:jc w:val="both"/>
        <w:spacing w:after="0" w:line="240" w:lineRule="auto"/>
        <w:tabs>
          <w:tab w:val="left" w:pos="619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еальным можно назвать учителя, который не только умеет грамотно спланировать и организовать свою работу, но и обладает высоким уровнем теоретических знаний, информационной компетентностью, реализуется творчески, при этом самокритичен, находится в постоянно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поиске и готов учиться чему-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то новому. Приблизить каждого педагога к идеалу школьного учителя, поднять его самооценку, повысить уровень профессионального мастерства была призвана работа нашего методического объединения.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1-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 xml:space="preserve">учебном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 работе методического объединении учителей-предметников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основной школы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участвовало 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педагогов. Кадровый потенциал методического объединения учителей-предметников основной школы средний. Кравцова В. П., учитель русского языка и литературы,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Вертиева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В. М., учитель музыки,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Акимова Н. Ф., директор школы,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име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 высшую категорию,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педагогов (Шилова О. Н., Луценко Н. В., Нудная Р. П., Родченко С. С.,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Божкова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Л. И.,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Батвинова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Н. Н.,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Ткаченко В. В.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Лимарь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Ю. С.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Шурховецкая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Н. М.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— первую категорию,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педагога 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Артемова Н. О., Воловиков В. 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Славгородская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В. В.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) категории не имеют.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методического объединения строилась на основе результатов мониторинга: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анализе учебного процесса;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обобщении и внедрении в практику опыта лучших учителей;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творческой инициативе педагогов.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</w:t>
      </w:r>
      <w:r>
        <w:rPr>
          <w:rFonts w:ascii="Times New Roman" w:hAnsi="Times New Roman" w:cs="Times New Roman"/>
          <w:sz w:val="28"/>
          <w:szCs w:val="28"/>
        </w:rPr>
        <w:t xml:space="preserve"> повышения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</w:t>
      </w:r>
      <w:r>
        <w:rPr>
          <w:rFonts w:ascii="Times New Roman" w:hAnsi="Times New Roman" w:cs="Times New Roman"/>
          <w:sz w:val="28"/>
          <w:szCs w:val="28"/>
        </w:rPr>
        <w:t xml:space="preserve">я и педагогического мастерства </w:t>
      </w:r>
      <w:r>
        <w:rPr>
          <w:rFonts w:ascii="Times New Roman" w:hAnsi="Times New Roman" w:cs="Times New Roman"/>
          <w:sz w:val="28"/>
          <w:szCs w:val="28"/>
        </w:rPr>
        <w:t xml:space="preserve">на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-20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была выбрана следующая 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учителя, направленного на формирование и развитие личности учащегося посредством решения педагогических ситуаций в условиях ФГОС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ind w:firstLine="851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объединение учит</w:t>
      </w:r>
      <w:r>
        <w:rPr>
          <w:rFonts w:ascii="Times New Roman" w:hAnsi="Times New Roman" w:cs="Times New Roman"/>
          <w:sz w:val="28"/>
          <w:szCs w:val="28"/>
        </w:rPr>
        <w:t xml:space="preserve">елей-предметников</w:t>
      </w:r>
      <w:r>
        <w:rPr>
          <w:rFonts w:ascii="Times New Roman" w:hAnsi="Times New Roman" w:cs="Times New Roman"/>
          <w:sz w:val="28"/>
          <w:szCs w:val="28"/>
        </w:rPr>
        <w:t xml:space="preserve"> уровня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течение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-20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уч</w:t>
      </w:r>
      <w:r>
        <w:rPr>
          <w:rFonts w:ascii="Times New Roman" w:hAnsi="Times New Roman" w:cs="Times New Roman"/>
          <w:sz w:val="28"/>
          <w:szCs w:val="28"/>
        </w:rPr>
        <w:t xml:space="preserve">ебного</w:t>
      </w:r>
      <w:r>
        <w:rPr>
          <w:rFonts w:ascii="Times New Roman" w:hAnsi="Times New Roman" w:cs="Times New Roman"/>
          <w:sz w:val="28"/>
          <w:szCs w:val="28"/>
        </w:rPr>
        <w:t xml:space="preserve"> года работало над реализацией следующих задач:</w:t>
      </w:r>
      <w:r/>
    </w:p>
    <w:p>
      <w:pPr>
        <w:numPr>
          <w:ilvl w:val="0"/>
          <w:numId w:val="13"/>
        </w:numPr>
        <w:ind w:left="0" w:firstLine="0"/>
        <w:jc w:val="both"/>
        <w:spacing w:after="0" w:line="240" w:lineRule="auto"/>
        <w:shd w:val="clear" w:color="auto" w:fill="ffffff"/>
        <w:tabs>
          <w:tab w:val="num" w:pos="400" w:leader="none"/>
          <w:tab w:val="clear" w:pos="720" w:leader="none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методической работы для педагогов на основе изучения их профессиональных интересов и затруднений, обмена опытом учителей предметников.</w:t>
      </w:r>
      <w:r/>
    </w:p>
    <w:p>
      <w:pPr>
        <w:numPr>
          <w:ilvl w:val="0"/>
          <w:numId w:val="13"/>
        </w:numPr>
        <w:ind w:left="0" w:firstLine="0"/>
        <w:jc w:val="both"/>
        <w:spacing w:after="0" w:line="240" w:lineRule="auto"/>
        <w:shd w:val="clear" w:color="auto" w:fill="ffffff"/>
        <w:tabs>
          <w:tab w:val="num" w:pos="400" w:leader="none"/>
          <w:tab w:val="clear" w:pos="720" w:leader="none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Создание необходимых условий для обеспечения самообразования и обобщения передового педагогического опыта.</w:t>
      </w:r>
      <w:r/>
    </w:p>
    <w:p>
      <w:pPr>
        <w:numPr>
          <w:ilvl w:val="0"/>
          <w:numId w:val="13"/>
        </w:numPr>
        <w:ind w:left="0" w:firstLine="0"/>
        <w:jc w:val="both"/>
        <w:spacing w:after="0" w:line="240" w:lineRule="auto"/>
        <w:shd w:val="clear" w:color="auto" w:fill="ffffff"/>
        <w:tabs>
          <w:tab w:val="num" w:pos="400" w:leader="none"/>
          <w:tab w:val="clear" w:pos="720" w:leader="none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Содействие раскрытию творческого потенциала учащихся через уроки и внеклассную работу.</w:t>
      </w:r>
      <w:r/>
    </w:p>
    <w:p>
      <w:pPr>
        <w:numPr>
          <w:ilvl w:val="0"/>
          <w:numId w:val="13"/>
        </w:numPr>
        <w:ind w:left="0" w:firstLine="0"/>
        <w:jc w:val="both"/>
        <w:spacing w:after="0" w:line="240" w:lineRule="auto"/>
        <w:shd w:val="clear" w:color="auto" w:fill="ffffff"/>
        <w:tabs>
          <w:tab w:val="num" w:pos="400" w:leader="none"/>
          <w:tab w:val="clear" w:pos="720" w:leader="none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овершенствование системы по подготовке выпускников 9 класса к ГИА в форме ОГЭ, а также к устному собеседованию по русскому языку.</w:t>
      </w:r>
      <w:r/>
    </w:p>
    <w:p>
      <w:pPr>
        <w:numPr>
          <w:ilvl w:val="0"/>
          <w:numId w:val="13"/>
        </w:numPr>
        <w:ind w:left="0" w:firstLine="0"/>
        <w:jc w:val="both"/>
        <w:spacing w:after="0" w:line="240" w:lineRule="auto"/>
        <w:shd w:val="clear" w:color="auto" w:fill="ffffff"/>
        <w:tabs>
          <w:tab w:val="num" w:pos="400" w:leader="none"/>
          <w:tab w:val="clear" w:pos="720" w:leader="none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 системы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работы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здоровьесбережению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школьников и учителей.</w:t>
      </w:r>
      <w:r/>
    </w:p>
    <w:p>
      <w:pPr>
        <w:pStyle w:val="628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7.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абот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с одарёнными детьми и организ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ация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целенаправленн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со слабоуспевающими учащимися через индивидуальный подход.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темой реализовывала</w:t>
      </w:r>
      <w:r>
        <w:rPr>
          <w:rFonts w:ascii="Times New Roman" w:hAnsi="Times New Roman" w:cs="Times New Roman"/>
          <w:sz w:val="28"/>
          <w:szCs w:val="28"/>
        </w:rPr>
        <w:t xml:space="preserve">сь через различные формы работы: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деятельности методического объединения: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круглый стол;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семинар;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открытые уроки;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мастер – класс;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индивидуальное наставничество;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конкурсы методических материалов и педагогического мастерства;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публикации авторских разработок, тезисов докладов, статей, конспектов уроков, сценариев мероприятий;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дискуссия;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</w:t>
      </w:r>
      <w:r>
        <w:rPr>
          <w:rFonts w:ascii="Times New Roman" w:hAnsi="Times New Roman" w:cs="Times New Roman"/>
          <w:sz w:val="28"/>
          <w:szCs w:val="28"/>
        </w:rPr>
        <w:t xml:space="preserve">методическ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 xml:space="preserve">, электронных статей;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новинками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литературы, Интернет-ресурсами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использованы </w:t>
      </w:r>
      <w:r>
        <w:rPr>
          <w:rFonts w:ascii="Times New Roman" w:hAnsi="Times New Roman" w:cs="Times New Roman"/>
          <w:sz w:val="28"/>
          <w:szCs w:val="28"/>
        </w:rPr>
        <w:t xml:space="preserve">различные</w:t>
      </w:r>
      <w:r>
        <w:rPr>
          <w:rFonts w:ascii="Times New Roman" w:hAnsi="Times New Roman" w:cs="Times New Roman"/>
          <w:sz w:val="28"/>
          <w:szCs w:val="28"/>
        </w:rPr>
        <w:t xml:space="preserve"> формы проведения заседаний МО учителей-предметников: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дискуссия;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проблемный семинар;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ярмарка методических идей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практикум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наставничество;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конкурсы методических материалов и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открытые уроки;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публикации авторских разработок, докладов, статей, конспектов уроко</w:t>
      </w:r>
      <w:r>
        <w:rPr>
          <w:rFonts w:ascii="Times New Roman" w:hAnsi="Times New Roman" w:cs="Times New Roman"/>
          <w:sz w:val="28"/>
          <w:szCs w:val="28"/>
        </w:rPr>
        <w:t xml:space="preserve">в, сценариев мероприятий и др.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Направления деятельности 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профессионального роста педагогов;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обобщение педагогического опыта учителей;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поиск наиболее эффективных форм и методов преподавания для оптимизации образовательного процесса;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сосредоточение основных усилий на создании условий для обеспечения повышения качества образования;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сетевого взаимодействия педагогов образовательного учреждения с целью обмена опытом и передовыми технологиями в области образования;</w:t>
      </w:r>
      <w:r/>
    </w:p>
    <w:p>
      <w:pPr>
        <w:pStyle w:val="62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преемственность в обучении;</w:t>
      </w:r>
      <w:r/>
    </w:p>
    <w:p>
      <w:pPr>
        <w:pStyle w:val="62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использование средств психолого-педагогической поддержки обучающихс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школьников, их способностей и компетенций, необходимых для продолжения образования и выбора профессии;</w:t>
      </w:r>
      <w:r/>
    </w:p>
    <w:p>
      <w:pPr>
        <w:pStyle w:val="628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формирование партнёрских отношений с родителями (законными представителями) в целях содействия социализации обучающихся в семье, учёта индивидуальных и возрастных особенностей учащихся, культурных и социальных потребностей их семей;</w:t>
      </w:r>
      <w:r/>
    </w:p>
    <w:p>
      <w:pPr>
        <w:pStyle w:val="628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педагогов через современные Интернет-средства.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образовательную деятельность, можно отметить следующие аспекты: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все учителя работали по рабочим программам, за основу которых взята программа Министерства образования для общеобразовательной школы;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реализаци</w:t>
      </w:r>
      <w:r>
        <w:rPr>
          <w:rFonts w:ascii="Times New Roman" w:hAnsi="Times New Roman" w:cs="Times New Roman"/>
          <w:sz w:val="28"/>
          <w:szCs w:val="28"/>
        </w:rPr>
        <w:t xml:space="preserve">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образовательная деятельность осуществлялась с учетом федерального перечня учебников, допущенных и рекомендованных Министерством образования РФ к использованию в образовательном процессе.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текущем году было проведено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плановых заседаний. Тематика заседаний, выбор тем были обоснованы рядом потребностей и пожеланий педагогических работников. Анализ работы методического объединения за прошедший год показал, что остаются актуальными вопросы, </w:t>
      </w:r>
      <w:r>
        <w:rPr>
          <w:rFonts w:ascii="Times New Roman" w:hAnsi="Times New Roman" w:cs="Times New Roman"/>
          <w:sz w:val="28"/>
          <w:szCs w:val="28"/>
        </w:rPr>
        <w:t xml:space="preserve">связанные с главными требованиями к современному процессу обучения в соответствии с ФГОС нового поколения, вопросы, связанные с использованием активных и интерактивных методов преподавания   различных предметов и форм обучения учащихся, а также проведение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метапредметных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достижений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 Кроме этого тематика заседаний методического объединения определялась и </w:t>
      </w:r>
      <w:r>
        <w:rPr>
          <w:rFonts w:ascii="Times New Roman" w:hAnsi="Times New Roman" w:cs="Times New Roman"/>
          <w:sz w:val="28"/>
          <w:szCs w:val="28"/>
        </w:rPr>
        <w:t xml:space="preserve">на  основе</w:t>
      </w:r>
      <w:r>
        <w:rPr>
          <w:rFonts w:ascii="Times New Roman" w:hAnsi="Times New Roman" w:cs="Times New Roman"/>
          <w:sz w:val="28"/>
          <w:szCs w:val="28"/>
        </w:rPr>
        <w:t xml:space="preserve">  проблем  педагогов, мнений учащихся,  выявленных путем  диагностирования педагогов и учащихся.</w:t>
      </w:r>
      <w:r/>
    </w:p>
    <w:p>
      <w:pPr>
        <w:pStyle w:val="62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данных проблем на заседаниях были   рассмотрены вопросы и приняты решения по следующим направлениям:</w:t>
      </w:r>
      <w:r/>
    </w:p>
    <w:p>
      <w:pPr>
        <w:pStyle w:val="62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учебной и методической работы учителя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/>
    </w:p>
    <w:p>
      <w:pPr>
        <w:pStyle w:val="62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Создание образовательного пространства для самореализации учителя и учащихся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/>
    </w:p>
    <w:p>
      <w:pPr>
        <w:ind w:firstLine="708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Учитель – учителю. Обучение в сотрудничестве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»;</w:t>
      </w:r>
      <w:r/>
    </w:p>
    <w:p>
      <w:pPr>
        <w:pStyle w:val="627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</w:t>
      </w:r>
      <w:r>
        <w:rPr>
          <w:bCs/>
          <w:iCs/>
          <w:sz w:val="28"/>
          <w:szCs w:val="28"/>
        </w:rPr>
        <w:t xml:space="preserve">Цифровые информационные технологии как средства развития познавательной деятельности</w:t>
      </w:r>
      <w:r>
        <w:rPr>
          <w:bCs/>
          <w:iCs/>
          <w:sz w:val="28"/>
          <w:szCs w:val="28"/>
        </w:rPr>
        <w:t xml:space="preserve">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МО учителей-предметников основной школы за 2021 – 2022 учебный год»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начале учебного года был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обсужден план работы методического объединения учителей-предметников на 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ебный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год, принята тематика и график заседаний методического объединения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уровня основного общего образования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а также утверждены графики проведения открытых уроков, внеклассных мероприятий по предметам, выступлений и школьных конкурсов.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Запланированные мероприятия были проведены в течение учебного года. 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педагоги активно участвовали в заседа</w:t>
      </w:r>
      <w:r>
        <w:rPr>
          <w:rFonts w:ascii="Times New Roman" w:hAnsi="Times New Roman" w:cs="Times New Roman"/>
          <w:sz w:val="28"/>
          <w:szCs w:val="28"/>
        </w:rPr>
        <w:t xml:space="preserve">ниях методического объединения.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совершенствования методов и форм работы ве</w:t>
      </w:r>
      <w:r>
        <w:rPr>
          <w:rFonts w:ascii="Times New Roman" w:hAnsi="Times New Roman" w:cs="Times New Roman"/>
          <w:sz w:val="28"/>
          <w:szCs w:val="28"/>
        </w:rPr>
        <w:t xml:space="preserve">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взаимопосещение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уроков внутри МО, посещение районных и областных конференций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семинаров</w:t>
      </w:r>
      <w:r>
        <w:rPr>
          <w:rFonts w:ascii="Times New Roman" w:hAnsi="Times New Roman" w:cs="Times New Roman"/>
          <w:sz w:val="28"/>
          <w:szCs w:val="28"/>
        </w:rPr>
        <w:t xml:space="preserve">. Педагоги приняли активное участие в </w:t>
      </w:r>
      <w:r>
        <w:rPr>
          <w:rFonts w:ascii="Times New Roman" w:hAnsi="Times New Roman" w:cs="Times New Roman"/>
          <w:sz w:val="28"/>
          <w:szCs w:val="28"/>
        </w:rPr>
        <w:t xml:space="preserve">вебинарах</w:t>
      </w:r>
      <w:r>
        <w:rPr>
          <w:rFonts w:ascii="Times New Roman" w:hAnsi="Times New Roman" w:cs="Times New Roman"/>
          <w:sz w:val="28"/>
          <w:szCs w:val="28"/>
        </w:rPr>
        <w:t xml:space="preserve">. В течение учебного года большинство педагогов провели открытые уроки по проблемам заседаний, поделились наработками по внедрению инновационных технологий, участвовали в дискуссиях по обсуждаемым проблемам.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tbl>
      <w:tblPr>
        <w:tblStyle w:val="635"/>
        <w:tblW w:w="10349" w:type="dxa"/>
        <w:tblInd w:w="-856" w:type="dxa"/>
        <w:tblLook w:val="04A0" w:firstRow="1" w:lastRow="0" w:firstColumn="1" w:lastColumn="0" w:noHBand="0" w:noVBand="1"/>
      </w:tblPr>
      <w:tblGrid>
        <w:gridCol w:w="861"/>
        <w:gridCol w:w="1990"/>
        <w:gridCol w:w="2212"/>
        <w:gridCol w:w="2986"/>
        <w:gridCol w:w="916"/>
        <w:gridCol w:w="1476"/>
      </w:tblGrid>
      <w:tr>
        <w:trPr/>
        <w:tc>
          <w:tcPr>
            <w:gridSpan w:val="6"/>
            <w:tcW w:w="10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График открытых уроков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2021 – 2022 учебный год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№п/п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</w:t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Родченко С. С.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Правильные и неправильные дроби. Сравнение дробей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02.02.2022</w:t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Артемова Н. О.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П. –«Подбор спортивного инвентаря для занятий физическими упражнениями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домашних условиях». Сдача к. н. – техника броска одной рукой от плеча.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11.11.2021</w:t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Лимарь Ю. С.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«СПП с придаточными обстоятельственными»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20.01.2022</w:t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Кравцова В. П.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Сказуемое.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14.10.2021</w:t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Шилова О. Н.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статусы и роли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14.01.2022</w:t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В. В.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водоснабжения и канализации: конструкции и элементы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21.09.2021</w:t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Стрельцова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Чарушин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«Страшный рассказ»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23.11.2021</w:t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Славгородская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Зачем людям украшения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21.01. 2022</w:t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Божкова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Биологические катализаторы. Инструктаж по ТБ. Л. Р. №1 «Расщепление пероксида водорода ферментом каталазой»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06.10.2021</w:t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Луценко Н. В.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определённых интегралов в геометрических и физических задачах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Батвинова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Нью – Йорк. Знакомство с географическими названиями.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чтение текста.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01.02.2022</w:t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Т. И.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Вертиева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«какой?», «какая?», «какое?», «какие?»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17.02.2022</w:t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Акимова Н. Ф.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Ю.Лермонтов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Ашик-Кериб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сказка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14.10.2021</w:t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Нудная Р. П.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наблюдения и регистрации элементарных частиц.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05.04.2022</w:t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Воловиков В. Н.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/>
          </w:p>
        </w:tc>
        <w:tc>
          <w:tcPr>
            <w:tcW w:w="3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Машиностроительный комплекс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08.12.2021</w:t>
            </w:r>
            <w:r/>
          </w:p>
        </w:tc>
      </w:tr>
    </w:tbl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Посетив  уроки</w:t>
      </w:r>
      <w:r>
        <w:rPr>
          <w:rFonts w:ascii="Times New Roman" w:hAnsi="Times New Roman" w:cs="Times New Roman"/>
          <w:sz w:val="28"/>
          <w:szCs w:val="28"/>
        </w:rPr>
        <w:t xml:space="preserve"> коллег, члены МО пришли к выводу: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учителя использ</w:t>
      </w:r>
      <w:r>
        <w:rPr>
          <w:rFonts w:ascii="Times New Roman" w:hAnsi="Times New Roman" w:cs="Times New Roman"/>
          <w:sz w:val="28"/>
          <w:szCs w:val="28"/>
        </w:rPr>
        <w:t xml:space="preserve">уют </w:t>
      </w:r>
      <w:r>
        <w:rPr>
          <w:rFonts w:ascii="Times New Roman" w:hAnsi="Times New Roman" w:cs="Times New Roman"/>
          <w:sz w:val="28"/>
          <w:szCs w:val="28"/>
        </w:rPr>
        <w:t xml:space="preserve">на уроках активные методы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способы активизации учебно-познавательной деятельности учащихся, которые побуждают их к мыслительной и практической деятельности в процессе овладения материалом, когда активен не только учитель, но и у</w:t>
      </w:r>
      <w:r>
        <w:rPr>
          <w:rFonts w:ascii="Times New Roman" w:hAnsi="Times New Roman" w:cs="Times New Roman"/>
          <w:sz w:val="28"/>
          <w:szCs w:val="28"/>
        </w:rPr>
        <w:t xml:space="preserve">ч</w:t>
      </w:r>
      <w:r>
        <w:rPr>
          <w:rFonts w:ascii="Times New Roman" w:hAnsi="Times New Roman" w:cs="Times New Roman"/>
          <w:sz w:val="28"/>
          <w:szCs w:val="28"/>
        </w:rPr>
        <w:t xml:space="preserve">еник</w:t>
      </w:r>
      <w:r>
        <w:rPr>
          <w:rFonts w:ascii="Times New Roman" w:hAnsi="Times New Roman" w:cs="Times New Roman"/>
          <w:sz w:val="28"/>
          <w:szCs w:val="28"/>
        </w:rPr>
        <w:t xml:space="preserve">. Кроме активных методов обучения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использованы  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методы,  позволяющие учитьс</w:t>
      </w:r>
      <w:r>
        <w:rPr>
          <w:rFonts w:ascii="Times New Roman" w:hAnsi="Times New Roman" w:cs="Times New Roman"/>
          <w:sz w:val="28"/>
          <w:szCs w:val="28"/>
        </w:rPr>
        <w:t xml:space="preserve">я взаимодействовать между собой,</w:t>
      </w:r>
      <w:r>
        <w:rPr>
          <w:rFonts w:ascii="Times New Roman" w:hAnsi="Times New Roman" w:cs="Times New Roman"/>
          <w:sz w:val="28"/>
          <w:szCs w:val="28"/>
        </w:rPr>
        <w:t xml:space="preserve">  обучение, построенное на взаимодействии всех обучающихся, включая педагога;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 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проведении уроков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подход, а также такие формы работы с детьми, которые  помог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самостоятельность в осуществлении выбора, предостав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учащимся возможность самовыражения, самоопределения;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педагоги смогли повысить результативность образовательной деятельности учащихся благодаря более активному использо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ванию различных ИКТ-технологий, сэкономили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время на опрос, у учащихся появ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заниматься не только на уроках, но и в домашних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условиях;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 использование современных образовательных технологий позвол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личностно-ориентированного подхода к каждому ученику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информационную насыщенность урока,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доступн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наглядн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лучше понять и усвоить учебный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формы, применяемые учителями для изучения определ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нных вопросов,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способствовали </w:t>
      </w:r>
      <w:r>
        <w:rPr>
          <w:rFonts w:ascii="Times New Roman" w:hAnsi="Times New Roman" w:cs="Times New Roman"/>
          <w:sz w:val="28"/>
          <w:szCs w:val="28"/>
        </w:rPr>
        <w:t xml:space="preserve">повыш</w:t>
      </w:r>
      <w:r>
        <w:rPr>
          <w:rFonts w:ascii="Times New Roman" w:hAnsi="Times New Roman" w:cs="Times New Roman"/>
          <w:sz w:val="28"/>
          <w:szCs w:val="28"/>
        </w:rPr>
        <w:t xml:space="preserve">ению</w:t>
      </w:r>
      <w:r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заседаний МО, улучш</w:t>
      </w:r>
      <w:r>
        <w:rPr>
          <w:rFonts w:ascii="Times New Roman" w:hAnsi="Times New Roman" w:cs="Times New Roman"/>
          <w:sz w:val="28"/>
          <w:szCs w:val="28"/>
        </w:rPr>
        <w:t xml:space="preserve">ению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методического объединения были обсуждены вопросы научно – методического аспекта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0065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6379"/>
      </w:tblGrid>
      <w:tr>
        <w:trPr>
          <w:trHeight w:val="1"/>
        </w:trPr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left="-911" w:firstLine="851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ind w:firstLine="851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Ф.И.О учителя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79" w:type="dxa"/>
            <w:textDirection w:val="lrTb"/>
            <w:noWrap w:val="false"/>
          </w:tcPr>
          <w:p>
            <w:pPr>
              <w:contextualSpacing/>
              <w:ind w:firstLine="851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выступления на МО</w:t>
            </w:r>
            <w:r/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left="-220" w:firstLine="16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ind w:firstLine="851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Кравцова В. П.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79" w:type="dxa"/>
            <w:textDirection w:val="lrTb"/>
            <w:noWrap w:val="false"/>
          </w:tcPr>
          <w:p>
            <w:pPr>
              <w:contextualSpacing/>
              <w:ind w:firstLine="851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оценка функциональной грамотности обучающихся: приоритетные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2021/2022 учебный год».</w:t>
            </w:r>
            <w:r/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left="-220" w:firstLine="16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Нудная Р. П.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79" w:type="dxa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оценивания образовательных достижений учащихся как средство оптимизации учебного процесса, современных методов и технологий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типа в соответствии с требованиями ФГОС. (Из опыта работы).</w:t>
            </w:r>
            <w:r/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left="-220" w:firstLine="16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79" w:type="dxa"/>
            <w:textDirection w:val="lrTb"/>
            <w:noWrap w:val="false"/>
          </w:tcPr>
          <w:p>
            <w:pPr>
              <w:pStyle w:val="636"/>
              <w:ind w:left="0" w:firstLine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Воспитание культуры общения подростков: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«Подросток – подросток», «Дети – родители», «Подросток – взрослый»</w:t>
            </w:r>
            <w:r/>
          </w:p>
          <w:p>
            <w:pPr>
              <w:pStyle w:val="626"/>
              <w:contextualSpacing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right="-107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Батвинова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79" w:type="dxa"/>
            <w:textDirection w:val="lrTb"/>
            <w:noWrap w:val="false"/>
          </w:tcPr>
          <w:p>
            <w:pPr>
              <w:pStyle w:val="637"/>
              <w:ind w:left="157" w:hanging="157"/>
              <w:jc w:val="both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с детьми «группы риска». (Доклад).  </w:t>
            </w:r>
            <w:r/>
          </w:p>
          <w:p>
            <w:pPr>
              <w:pStyle w:val="6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right="-107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Родченко С. С.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«Использование социально-педагогических технологий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организации работы с обучающимися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девиантного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поведения как одно из условий снижения количественного состава учащихся «группы риска»».</w:t>
            </w:r>
            <w:r/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right="-107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Божкова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– одна из форм повышения профессионального мастерства педагогов.</w:t>
            </w:r>
            <w:r/>
          </w:p>
          <w:p>
            <w:pPr>
              <w:pStyle w:val="637"/>
              <w:ind w:left="157" w:hanging="157"/>
              <w:jc w:val="both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педагогической  мастерской)</w:t>
            </w:r>
            <w:r/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right="-107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Шилова О. Н.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79" w:type="dxa"/>
            <w:textDirection w:val="lrTb"/>
            <w:noWrap w:val="false"/>
          </w:tcPr>
          <w:p>
            <w:pPr>
              <w:pStyle w:val="637"/>
              <w:ind w:left="157" w:hanging="157"/>
              <w:jc w:val="both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и тактика подготовки к письменной и устной части ОГЭ. (Из опыта работы)</w:t>
            </w:r>
            <w:r/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right="-107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Вертиева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М.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духовно-нравственной культуры личности силами семьи и школы</w:t>
            </w:r>
            <w:r/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right="-107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Воловиков В. Н.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79" w:type="dxa"/>
            <w:textDirection w:val="lrTb"/>
            <w:noWrap w:val="false"/>
          </w:tcPr>
          <w:p>
            <w:pPr>
              <w:pStyle w:val="627"/>
              <w:spacing w:before="0" w:beforeAutospacing="0" w:after="0" w:afterAutospacing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Дистанционная форма обучения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как инновационная образовательная модель.</w:t>
            </w:r>
            <w:r/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right="-107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Славгородская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79" w:type="dxa"/>
            <w:textDirection w:val="lrTb"/>
            <w:noWrap w:val="false"/>
          </w:tcPr>
          <w:p>
            <w:pPr>
              <w:pStyle w:val="637"/>
              <w:jc w:val="both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Учебно-методические и информационно-методические ресурсы, как необходимое условие для успешного решения задач ФГОС.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(Выступление)</w:t>
            </w:r>
            <w:r/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right="-107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Артемова Н. О.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79" w:type="dxa"/>
            <w:textDirection w:val="lrTb"/>
            <w:noWrap w:val="false"/>
          </w:tcPr>
          <w:p>
            <w:pPr>
              <w:pStyle w:val="637"/>
              <w:ind w:left="157" w:hanging="157"/>
              <w:jc w:val="both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Особенности использования цифровых информационных технологий, позволяющих формировать у школьников ключевые компетенции</w:t>
            </w:r>
            <w:r/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right="-107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Шурховецкая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  <w:r/>
          </w:p>
        </w:tc>
        <w:tc>
          <w:tcPr>
            <w:shd w:val="clear" w:color="000000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79" w:type="dxa"/>
            <w:textDirection w:val="lrTb"/>
            <w:noWrap w:val="false"/>
          </w:tcPr>
          <w:p>
            <w:pPr>
              <w:pStyle w:val="637"/>
              <w:ind w:left="157" w:hanging="157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Здоровье ребё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нка как цель совместных усилий школы и семьи.</w:t>
            </w:r>
            <w:r/>
          </w:p>
        </w:tc>
      </w:tr>
    </w:tbl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педагогические технологии с целью использования их на уроках для повышения качества образования.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 в совершенстве владеют методикой анализа учебно-методической работы, хорошо ориентируются в инновацио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сегодняшних  уроках прослеживаются только элементы этих технологий на разных этапах урока, а хотелось бы, чтобы эта работа всё-таки была целенаправленной, ориентированной на каждого обучающегося с учётом их способностей.</w:t>
      </w:r>
      <w:r/>
    </w:p>
    <w:p>
      <w:pPr>
        <w:ind w:firstLine="851"/>
        <w:jc w:val="both"/>
        <w:spacing w:after="0" w:line="240" w:lineRule="auto"/>
        <w:shd w:val="clear" w:color="auto" w:fill="ffffff"/>
        <w:tabs>
          <w:tab w:val="left" w:pos="0" w:leader="none"/>
          <w:tab w:val="left" w:pos="5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Оптимальный способ выявления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 поддержки одарё</w:t>
      </w:r>
      <w:r>
        <w:rPr>
          <w:rFonts w:ascii="Times New Roman" w:hAnsi="Times New Roman" w:cs="Times New Roman"/>
          <w:sz w:val="28"/>
          <w:szCs w:val="28"/>
        </w:rPr>
        <w:t xml:space="preserve">нных детей – организация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 проведение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школьных предметных олимпиад.</w:t>
      </w:r>
      <w:r/>
    </w:p>
    <w:p>
      <w:pPr>
        <w:ind w:firstLine="851"/>
        <w:jc w:val="both"/>
        <w:spacing w:after="0" w:line="240" w:lineRule="auto"/>
        <w:shd w:val="clear" w:color="auto" w:fill="ffffff"/>
        <w:tabs>
          <w:tab w:val="left" w:pos="0" w:leader="none"/>
          <w:tab w:val="left" w:pos="540" w:leader="none"/>
        </w:tabs>
        <w:rPr>
          <w:rFonts w:ascii="Times New Roman" w:hAnsi="Times New Roman" w:cs="Times New Roman"/>
          <w:color w:val="FFFF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этом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были проведены </w:t>
      </w:r>
      <w:r>
        <w:rPr>
          <w:rFonts w:ascii="Times New Roman" w:hAnsi="Times New Roman" w:cs="Times New Roman"/>
          <w:sz w:val="28"/>
          <w:szCs w:val="28"/>
        </w:rPr>
        <w:t xml:space="preserve">внутришкольные</w:t>
      </w:r>
      <w:r>
        <w:rPr>
          <w:rFonts w:ascii="Times New Roman" w:hAnsi="Times New Roman" w:cs="Times New Roman"/>
          <w:sz w:val="28"/>
          <w:szCs w:val="28"/>
        </w:rPr>
        <w:t xml:space="preserve"> олимпиады по всем предметам.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все желающие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Победители защищали честь школы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 районном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уровне.</w:t>
      </w:r>
      <w:r/>
    </w:p>
    <w:p>
      <w:pPr>
        <w:ind w:firstLine="851"/>
        <w:jc w:val="both"/>
        <w:spacing w:after="0" w:line="240" w:lineRule="auto"/>
        <w:shd w:val="clear" w:color="auto" w:fill="ffffff"/>
        <w:tabs>
          <w:tab w:val="left" w:pos="0" w:leader="none"/>
          <w:tab w:val="left" w:pos="5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всех предметов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системат</w:t>
      </w:r>
      <w:r>
        <w:rPr>
          <w:rFonts w:ascii="Times New Roman" w:hAnsi="Times New Roman" w:cs="Times New Roman"/>
          <w:sz w:val="28"/>
          <w:szCs w:val="28"/>
        </w:rPr>
        <w:t xml:space="preserve">ически готовиться к олимпиадам </w:t>
      </w:r>
      <w:r>
        <w:rPr>
          <w:rFonts w:ascii="Times New Roman" w:hAnsi="Times New Roman" w:cs="Times New Roman"/>
          <w:sz w:val="28"/>
          <w:szCs w:val="28"/>
        </w:rPr>
        <w:t xml:space="preserve">в течение всего года.  Результаты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олимпиад  говорят</w:t>
      </w:r>
      <w:r>
        <w:rPr>
          <w:rFonts w:ascii="Times New Roman" w:hAnsi="Times New Roman" w:cs="Times New Roman"/>
          <w:sz w:val="28"/>
          <w:szCs w:val="28"/>
        </w:rPr>
        <w:t xml:space="preserve"> о том,  что не все </w:t>
      </w:r>
      <w:r>
        <w:rPr>
          <w:rFonts w:ascii="Times New Roman" w:hAnsi="Times New Roman" w:cs="Times New Roman"/>
          <w:sz w:val="28"/>
          <w:szCs w:val="28"/>
        </w:rPr>
        <w:t xml:space="preserve">педагоги</w:t>
      </w:r>
      <w:r>
        <w:rPr>
          <w:rFonts w:ascii="Times New Roman" w:hAnsi="Times New Roman" w:cs="Times New Roman"/>
          <w:sz w:val="28"/>
          <w:szCs w:val="28"/>
        </w:rPr>
        <w:t xml:space="preserve">  подходят с должной ответственностью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 подготовке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учащихся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 олимпиадам</w:t>
      </w:r>
      <w:r>
        <w:rPr>
          <w:rFonts w:ascii="Times New Roman" w:hAnsi="Times New Roman" w:cs="Times New Roman"/>
          <w:sz w:val="28"/>
          <w:szCs w:val="28"/>
        </w:rPr>
        <w:t xml:space="preserve">, недостаточно используют часы неаудиторной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, элективных курсов</w:t>
      </w:r>
      <w:r>
        <w:rPr>
          <w:rFonts w:ascii="Times New Roman" w:hAnsi="Times New Roman" w:cs="Times New Roman"/>
          <w:sz w:val="28"/>
          <w:szCs w:val="28"/>
        </w:rPr>
        <w:t xml:space="preserve">. Кроме этого необходимо учесть тот факт, что согласно учебному плану не по всем предметам имеются элективные курсы, а</w:t>
      </w:r>
      <w:r>
        <w:rPr>
          <w:rFonts w:ascii="Times New Roman" w:hAnsi="Times New Roman" w:cs="Times New Roman"/>
          <w:sz w:val="28"/>
          <w:szCs w:val="28"/>
        </w:rPr>
        <w:t xml:space="preserve"> часы неаудиторной занятости (</w:t>
      </w:r>
      <w:r>
        <w:rPr>
          <w:rFonts w:ascii="Times New Roman" w:hAnsi="Times New Roman" w:cs="Times New Roman"/>
          <w:sz w:val="28"/>
          <w:szCs w:val="28"/>
        </w:rPr>
        <w:t xml:space="preserve">всего 1 час в неделю)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Преподаватели совершенствуют своё профессиональное мастерство. Каждый учитель работает над своей темой самообразования.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Учебные кабинеты соответствуют современным требованиям. Имеются нормативно- правовые документы, раздаточный материал, настенные таблицы, отражающие направленность предмета</w:t>
      </w:r>
      <w:r>
        <w:rPr>
          <w:rFonts w:ascii="Times New Roman" w:hAnsi="Times New Roman" w:cs="Times New Roman"/>
          <w:sz w:val="28"/>
          <w:szCs w:val="28"/>
        </w:rPr>
        <w:t xml:space="preserve">. Большинство кабинетов оснащено</w:t>
      </w:r>
      <w:r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медиапроектор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. Во всех кабинетах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 xml:space="preserve">  интернет, что </w:t>
      </w:r>
      <w:r>
        <w:rPr>
          <w:rFonts w:ascii="Times New Roman" w:hAnsi="Times New Roman" w:cs="Times New Roman"/>
          <w:sz w:val="28"/>
          <w:szCs w:val="28"/>
        </w:rPr>
        <w:t xml:space="preserve">положи</w:t>
      </w:r>
      <w:r>
        <w:rPr>
          <w:rFonts w:ascii="Times New Roman" w:hAnsi="Times New Roman" w:cs="Times New Roman"/>
          <w:sz w:val="28"/>
          <w:szCs w:val="28"/>
        </w:rPr>
        <w:t xml:space="preserve">тельно сказывается на качестве проведения уроков и внеклассных мероприятий.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по предметам находится на </w:t>
      </w:r>
      <w:r>
        <w:rPr>
          <w:rFonts w:ascii="Times New Roman" w:hAnsi="Times New Roman" w:cs="Times New Roman"/>
          <w:sz w:val="28"/>
          <w:szCs w:val="28"/>
        </w:rPr>
        <w:t xml:space="preserve">среднем</w:t>
      </w:r>
      <w:r>
        <w:rPr>
          <w:rFonts w:ascii="Times New Roman" w:hAnsi="Times New Roman" w:cs="Times New Roman"/>
          <w:sz w:val="28"/>
          <w:szCs w:val="28"/>
        </w:rPr>
        <w:t xml:space="preserve"> уровне.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стоит уделить качеству проведения предметных недель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Преподавание ведё</w:t>
      </w:r>
      <w:r>
        <w:rPr>
          <w:rFonts w:ascii="Times New Roman" w:hAnsi="Times New Roman" w:cs="Times New Roman"/>
          <w:sz w:val="28"/>
          <w:szCs w:val="28"/>
        </w:rPr>
        <w:t xml:space="preserve">тся с учетом специфики преподаваемого предмета, учебный процесс строится на диагностической основе. Всеми учителями программа по предметам пройдена полностью, практическая часть выполнена. В </w:t>
      </w:r>
      <w:r>
        <w:rPr>
          <w:rFonts w:ascii="Times New Roman" w:hAnsi="Times New Roman" w:cs="Times New Roman"/>
          <w:sz w:val="28"/>
          <w:szCs w:val="28"/>
        </w:rPr>
        <w:t xml:space="preserve">течение всего года проводилась </w:t>
      </w:r>
      <w:r>
        <w:rPr>
          <w:rFonts w:ascii="Times New Roman" w:hAnsi="Times New Roman" w:cs="Times New Roman"/>
          <w:sz w:val="28"/>
          <w:szCs w:val="28"/>
        </w:rPr>
        <w:t xml:space="preserve">работа со слабоуспевающими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на уроках, так и во внеурочное время, контролировался уровень домашних заданий, влияние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 xml:space="preserve">нагрузки на здоровье учащихся.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</w:t>
      </w:r>
      <w:r>
        <w:rPr>
          <w:rFonts w:ascii="Times New Roman" w:hAnsi="Times New Roman" w:cs="Times New Roman"/>
          <w:sz w:val="28"/>
          <w:szCs w:val="28"/>
        </w:rPr>
        <w:t xml:space="preserve">можностями. Целенаправленно ведё</w:t>
      </w:r>
      <w:r>
        <w:rPr>
          <w:rFonts w:ascii="Times New Roman" w:hAnsi="Times New Roman" w:cs="Times New Roman"/>
          <w:sz w:val="28"/>
          <w:szCs w:val="28"/>
        </w:rPr>
        <w:t xml:space="preserve">тся работа по освоению учителями современных методик и технологий обучения. Большое внимание уделяется </w:t>
      </w:r>
      <w:r>
        <w:rPr>
          <w:rFonts w:ascii="Times New Roman" w:hAnsi="Times New Roman" w:cs="Times New Roman"/>
          <w:sz w:val="28"/>
          <w:szCs w:val="28"/>
        </w:rPr>
        <w:t xml:space="preserve">внедрению и осв</w:t>
      </w:r>
      <w:r>
        <w:rPr>
          <w:rFonts w:ascii="Times New Roman" w:hAnsi="Times New Roman" w:cs="Times New Roman"/>
          <w:sz w:val="28"/>
          <w:szCs w:val="28"/>
        </w:rPr>
        <w:t xml:space="preserve">оению учащимися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компьютерных технологий; формированию универсальных учебных действий у учащихся.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анализа можно сформулировать задачи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-20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решение которых позволит повысить эффективность деятельности педагогов:</w:t>
      </w:r>
      <w:r/>
    </w:p>
    <w:p>
      <w:pPr>
        <w:pStyle w:val="628"/>
        <w:numPr>
          <w:ilvl w:val="0"/>
          <w:numId w:val="9"/>
        </w:numPr>
        <w:ind w:left="0"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положительную мотивацию к обучени</w:t>
      </w:r>
      <w:r>
        <w:rPr>
          <w:rFonts w:ascii="Times New Roman" w:hAnsi="Times New Roman" w:cs="Times New Roman"/>
          <w:sz w:val="28"/>
          <w:szCs w:val="28"/>
        </w:rPr>
        <w:t xml:space="preserve">ю, повышать интерес к предметам</w:t>
      </w:r>
      <w:r>
        <w:rPr>
          <w:rFonts w:ascii="Times New Roman" w:hAnsi="Times New Roman" w:cs="Times New Roman"/>
          <w:sz w:val="28"/>
          <w:szCs w:val="28"/>
        </w:rPr>
        <w:t xml:space="preserve"> и качество образования через применение передовых педагогических технологий.</w:t>
      </w:r>
      <w:r/>
    </w:p>
    <w:p>
      <w:pPr>
        <w:pStyle w:val="628"/>
        <w:numPr>
          <w:ilvl w:val="0"/>
          <w:numId w:val="9"/>
        </w:numPr>
        <w:ind w:left="0"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Внедрять в образовательный процесс современные информационно – коммуникативные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, современное оборудование с учё</w:t>
      </w:r>
      <w:r>
        <w:rPr>
          <w:rFonts w:ascii="Times New Roman" w:hAnsi="Times New Roman" w:cs="Times New Roman"/>
          <w:sz w:val="28"/>
          <w:szCs w:val="28"/>
        </w:rPr>
        <w:t xml:space="preserve">том выбранной темы самообразования. </w:t>
      </w:r>
      <w:r/>
    </w:p>
    <w:p>
      <w:pPr>
        <w:numPr>
          <w:ilvl w:val="0"/>
          <w:numId w:val="9"/>
        </w:numPr>
        <w:ind w:left="0" w:firstLine="851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Способствовать п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овышени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ю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уровня профессиональной подготовки учителя чер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ез систему семинаров, </w:t>
      </w:r>
      <w:bookmarkStart w:id="0" w:name="_GoBack"/>
      <w:r/>
      <w:bookmarkEnd w:id="0"/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курсов повышения квалификации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, через 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обмен опытом, самообразование.</w:t>
      </w:r>
      <w:r/>
    </w:p>
    <w:p>
      <w:pPr>
        <w:numPr>
          <w:ilvl w:val="0"/>
          <w:numId w:val="9"/>
        </w:numPr>
        <w:ind w:left="0" w:firstLine="851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Содейств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овать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раскрытию творческого потенциала обучающихся через уроки и внеклассную работу на основе новых образовательных технологий.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Повысить внимание к внеклассной деятельности по предметам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numPr>
          <w:ilvl w:val="0"/>
          <w:numId w:val="9"/>
        </w:numPr>
        <w:ind w:left="0" w:firstLine="851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Продолжить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системн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подготовк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к ОГЭ по русскому языку, математике, биологии, химии, обществознанию и др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угим предметам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.</w:t>
      </w:r>
      <w:r/>
    </w:p>
    <w:p>
      <w:pPr>
        <w:pStyle w:val="628"/>
        <w:ind w:left="0"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8"/>
        <w:ind w:left="0"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2240" w:h="15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DejaVu Sans">
    <w:panose1 w:val="020B0603030804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isLgl w:val="false"/>
        <w:suff w:val="tab"/>
        <w:lvlText w:val=""/>
        <w:legacy w:legacy="1" w:legacyIndent="360" w:legacySpace="0"/>
        <w:lvlJc w:val="left"/>
        <w:pPr/>
        <w:rPr>
          <w:rFonts w:ascii="Symbol" w:hAnsi="Symbol" w:hint="default"/>
        </w:rPr>
      </w:lvl>
    </w:lvlOverride>
  </w:num>
  <w:num w:numId="2">
    <w:abstractNumId w:val="6"/>
  </w:num>
  <w:num w:numId="3">
    <w:abstractNumId w:val="10"/>
  </w:num>
  <w:num w:numId="4">
    <w:abstractNumId w:val="0"/>
    <w:lvlOverride w:ilvl="0">
      <w:lvl w:ilvl="0">
        <w:start w:val="1"/>
        <w:numFmt w:val="bullet"/>
        <w:isLgl w:val="false"/>
        <w:suff w:val="tab"/>
        <w:lvlText w:val=""/>
        <w:legacy w:legacy="1" w:legacyIndent="360" w:legacySpace="0"/>
        <w:lvlJc w:val="left"/>
        <w:pPr/>
        <w:rPr>
          <w:rFonts w:ascii="Symbol" w:hAnsi="Symbol" w:cs="Symbol" w:hint="default"/>
        </w:rPr>
      </w:lvl>
    </w:lvlOverride>
  </w:num>
  <w:num w:numId="5">
    <w:abstractNumId w:val="9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22"/>
    <w:next w:val="62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2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22"/>
    <w:next w:val="62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2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22"/>
    <w:next w:val="62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2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2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2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2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2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2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2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22"/>
    <w:next w:val="62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23"/>
    <w:link w:val="32"/>
    <w:uiPriority w:val="10"/>
    <w:rPr>
      <w:sz w:val="48"/>
      <w:szCs w:val="48"/>
    </w:rPr>
  </w:style>
  <w:style w:type="paragraph" w:styleId="34">
    <w:name w:val="Subtitle"/>
    <w:basedOn w:val="622"/>
    <w:next w:val="62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23"/>
    <w:link w:val="34"/>
    <w:uiPriority w:val="11"/>
    <w:rPr>
      <w:sz w:val="24"/>
      <w:szCs w:val="24"/>
    </w:rPr>
  </w:style>
  <w:style w:type="paragraph" w:styleId="36">
    <w:name w:val="Quote"/>
    <w:basedOn w:val="622"/>
    <w:next w:val="62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2"/>
    <w:next w:val="62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2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23"/>
    <w:link w:val="40"/>
    <w:uiPriority w:val="99"/>
  </w:style>
  <w:style w:type="paragraph" w:styleId="42">
    <w:name w:val="Footer"/>
    <w:basedOn w:val="62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23"/>
    <w:link w:val="42"/>
    <w:uiPriority w:val="99"/>
  </w:style>
  <w:style w:type="paragraph" w:styleId="44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23"/>
    <w:uiPriority w:val="99"/>
    <w:unhideWhenUsed/>
    <w:rPr>
      <w:vertAlign w:val="superscript"/>
    </w:rPr>
  </w:style>
  <w:style w:type="paragraph" w:styleId="176">
    <w:name w:val="endnote text"/>
    <w:basedOn w:val="62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23"/>
    <w:uiPriority w:val="99"/>
    <w:semiHidden/>
    <w:unhideWhenUsed/>
    <w:rPr>
      <w:vertAlign w:val="superscript"/>
    </w:rPr>
  </w:style>
  <w:style w:type="paragraph" w:styleId="179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 w:customStyle="1">
    <w:name w:val="Default"/>
    <w:uiPriority w:val="99"/>
    <w:pPr>
      <w:spacing w:after="0" w:line="240" w:lineRule="auto"/>
    </w:pPr>
    <w:rPr>
      <w:rFonts w:ascii="Calibri" w:hAnsi="Calibri" w:cs="Calibri" w:eastAsia="Times New Roman"/>
      <w:color w:val="000000"/>
      <w:sz w:val="24"/>
      <w:szCs w:val="24"/>
      <w:lang w:eastAsia="ru-RU"/>
    </w:rPr>
  </w:style>
  <w:style w:type="paragraph" w:styleId="627">
    <w:name w:val="Normal (Web)"/>
    <w:basedOn w:val="622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28">
    <w:name w:val="List Paragraph"/>
    <w:basedOn w:val="622"/>
    <w:uiPriority w:val="34"/>
    <w:qFormat/>
    <w:pPr>
      <w:contextualSpacing/>
      <w:ind w:left="720"/>
    </w:pPr>
  </w:style>
  <w:style w:type="paragraph" w:styleId="629">
    <w:name w:val="Body Text Indent"/>
    <w:basedOn w:val="622"/>
    <w:link w:val="630"/>
    <w:pPr>
      <w:ind w:left="700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630" w:customStyle="1">
    <w:name w:val="Основной текст с отступом Знак"/>
    <w:basedOn w:val="623"/>
    <w:link w:val="629"/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31">
    <w:name w:val="No Spacing"/>
    <w:link w:val="632"/>
    <w:uiPriority w:val="99"/>
    <w:qFormat/>
    <w:pPr>
      <w:spacing w:after="0" w:line="240" w:lineRule="auto"/>
    </w:pPr>
    <w:rPr>
      <w:rFonts w:ascii="Calibri" w:hAnsi="Calibri" w:cs="Calibri" w:eastAsia="Times New Roman"/>
      <w:sz w:val="24"/>
      <w:szCs w:val="24"/>
      <w:lang w:eastAsia="ru-RU"/>
    </w:rPr>
  </w:style>
  <w:style w:type="character" w:styleId="632" w:customStyle="1">
    <w:name w:val="Без интервала Знак"/>
    <w:link w:val="631"/>
    <w:uiPriority w:val="99"/>
    <w:rPr>
      <w:rFonts w:ascii="Calibri" w:hAnsi="Calibri" w:cs="Calibri" w:eastAsia="Times New Roman"/>
      <w:sz w:val="24"/>
      <w:szCs w:val="24"/>
      <w:lang w:eastAsia="ru-RU"/>
    </w:rPr>
  </w:style>
  <w:style w:type="paragraph" w:styleId="633">
    <w:name w:val="Balloon Text"/>
    <w:basedOn w:val="622"/>
    <w:link w:val="6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4" w:customStyle="1">
    <w:name w:val="Текст выноски Знак"/>
    <w:basedOn w:val="623"/>
    <w:link w:val="633"/>
    <w:uiPriority w:val="99"/>
    <w:semiHidden/>
    <w:rPr>
      <w:rFonts w:ascii="Segoe UI" w:hAnsi="Segoe UI" w:cs="Segoe UI"/>
      <w:sz w:val="18"/>
      <w:szCs w:val="18"/>
    </w:rPr>
  </w:style>
  <w:style w:type="table" w:styleId="635">
    <w:name w:val="Table Grid"/>
    <w:basedOn w:val="62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6" w:customStyle="1">
    <w:name w:val="Базовый"/>
    <w:pPr>
      <w:ind w:left="431" w:hanging="431"/>
      <w:tabs>
        <w:tab w:val="left" w:pos="1140" w:leader="none"/>
      </w:tabs>
    </w:pPr>
    <w:rPr>
      <w:rFonts w:ascii="Calibri" w:hAnsi="Calibri" w:cs="Times New Roman" w:eastAsia="DejaVu Sans"/>
      <w:color w:val="00000A"/>
    </w:rPr>
  </w:style>
  <w:style w:type="paragraph" w:styleId="637">
    <w:name w:val="Body Text"/>
    <w:basedOn w:val="622"/>
    <w:link w:val="638"/>
    <w:uiPriority w:val="99"/>
    <w:unhideWhenUsed/>
    <w:pPr>
      <w:spacing w:after="120"/>
    </w:pPr>
  </w:style>
  <w:style w:type="character" w:styleId="638" w:customStyle="1">
    <w:name w:val="Основной текст Знак"/>
    <w:basedOn w:val="623"/>
    <w:link w:val="63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C5661B4-EFF8-4688-A602-DC57631C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47</cp:revision>
  <dcterms:created xsi:type="dcterms:W3CDTF">2017-06-14T11:58:00Z</dcterms:created>
  <dcterms:modified xsi:type="dcterms:W3CDTF">2022-11-17T11:37:22Z</dcterms:modified>
</cp:coreProperties>
</file>