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равила при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ма в школ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иностранных граждан и лиц без гражданства 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  <w:t xml:space="preserve"> 1 апреля 2025 года </w:t>
      </w:r>
      <w:r/>
    </w:p>
    <w:p>
      <w:pPr>
        <w:jc w:val="center"/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lang w:eastAsia="ru-RU"/>
        </w:rPr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Приказом Министерства просвещения Российской Федерации от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марта 2025 года № 171 внесены изменения в Порядок при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1 апреля 2025 года иностранные граждане и лица без гражданства могут быть приняты в школ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при условии:</w:t>
      </w:r>
      <w:r/>
    </w:p>
    <w:p>
      <w:pPr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•предъявления документа, подтверждающего законность нахождения на территории Росси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/>
    </w:p>
    <w:p>
      <w:pPr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• успешного прохождения тестирования на знание русского языка, достаточное для освоения образовательных программ.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есоблюдение указанных условий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станет поводом для отказа в приё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 иностранных граждан и лиц без гражданства, за исключением отдельных случаев.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ahoma" w:hAnsi="Tahoma" w:eastAsia="Times New Roman" w:cs="Tahoma"/>
          <w:sz w:val="21"/>
          <w:szCs w:val="21"/>
          <w:lang w:eastAsia="ru-RU"/>
        </w:rPr>
      </w:r>
      <w:r/>
    </w:p>
    <w:p>
      <w:pPr>
        <w:ind w:right="28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еречень документов, подаваемых родителями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(законными представителями)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поступающим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 числа иностранных граждан и лиц без гражданства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numPr>
          <w:ilvl w:val="0"/>
          <w:numId w:val="2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родство заявителя (заявителей) (или законность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представления прав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нка);</w:t>
      </w:r>
      <w:r/>
    </w:p>
    <w:p>
      <w:pPr>
        <w:numPr>
          <w:ilvl w:val="0"/>
          <w:numId w:val="3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миграционн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либо иные предусмотренные федеральным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  <w:r/>
    </w:p>
    <w:p>
      <w:pPr>
        <w:numPr>
          <w:ilvl w:val="0"/>
          <w:numId w:val="4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  <w:r/>
    </w:p>
    <w:p>
      <w:pPr>
        <w:numPr>
          <w:ilvl w:val="0"/>
          <w:numId w:val="5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изучение русского языка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нком, 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r/>
    </w:p>
    <w:p>
      <w:pPr>
        <w:numPr>
          <w:ilvl w:val="0"/>
          <w:numId w:val="6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ов, удостоверяющих личность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личность лица без гражданства);</w:t>
      </w:r>
      <w:r/>
    </w:p>
    <w:p>
      <w:pPr>
        <w:numPr>
          <w:ilvl w:val="0"/>
          <w:numId w:val="7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ичии), а также СНИЛС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r/>
    </w:p>
    <w:p>
      <w:pPr>
        <w:numPr>
          <w:ilvl w:val="0"/>
          <w:numId w:val="8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медицинское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заключение об отсутствии у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323-ФЗ "Об основах охраны здоровья граждан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Российской Федерации";</w:t>
      </w:r>
      <w:r/>
    </w:p>
    <w:p>
      <w:pPr>
        <w:numPr>
          <w:ilvl w:val="0"/>
          <w:numId w:val="9"/>
        </w:numPr>
        <w:ind w:left="30" w:right="28"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осуществление родителем (законным представителем) трудовой деятельности (при наличии).</w:t>
      </w:r>
      <w:r/>
    </w:p>
    <w:p>
      <w:pPr>
        <w:ind w:firstLine="3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39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родители ребё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нка-иностранца являются должностными лицами международных (межгосударственных, межправительственных) организаций или владельцами дипломатических, служебных паспортов, сотрудниками и членами административно-технического персонала аппаратов военного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атташата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торговых представительств или членами их семей, то они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ляют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следующие документы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pStyle w:val="632"/>
        <w:numPr>
          <w:ilvl w:val="0"/>
          <w:numId w:val="10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копию свидетельства о рождении ребёнка;</w:t>
      </w:r>
      <w:r/>
    </w:p>
    <w:p>
      <w:pPr>
        <w:pStyle w:val="632"/>
        <w:numPr>
          <w:ilvl w:val="0"/>
          <w:numId w:val="10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копию паспорта;</w:t>
      </w:r>
      <w:r/>
    </w:p>
    <w:p>
      <w:pPr>
        <w:pStyle w:val="632"/>
        <w:numPr>
          <w:ilvl w:val="0"/>
          <w:numId w:val="10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справку о регистрации по месту жительства.</w:t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Граждане республики Беларусь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предоставляют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pStyle w:val="632"/>
        <w:numPr>
          <w:ilvl w:val="0"/>
          <w:numId w:val="1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подтверждающих родство заявителя или законность представления прав ребёнка;</w:t>
      </w:r>
      <w:r/>
    </w:p>
    <w:p>
      <w:pPr>
        <w:pStyle w:val="632"/>
        <w:numPr>
          <w:ilvl w:val="0"/>
          <w:numId w:val="11"/>
        </w:num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копии документов, удостоверяющих личность ребёнка.</w:t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Родители (законные представители) реб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нка, являющегося иностранным гражданином или лицом без гражданств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а, могут подать заявление о приё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обучение и документы для приё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 на обучение:</w:t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посредством ЕПГУ;</w:t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через операторов почтовой связи общего пользования заказным письмом с уведомлением о вручении.</w:t>
      </w:r>
      <w:r/>
    </w:p>
    <w:p>
      <w:pPr>
        <w:ind w:firstLine="36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приёма родитель (родители) (законный (законные) представитель (представители) реб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ёнка, являющегося иностранным гражданином или лицом без гражданства, или поступающий, являющийся иностранным гражданином или лицом без гражданства, в заявлении о приёме на обучение даёт (дают) согласие для прохождение тестирования на знание русского языка.</w:t>
      </w:r>
      <w:r/>
    </w:p>
    <w:p>
      <w:pPr>
        <w:ind w:firstLine="390"/>
        <w:jc w:val="both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  <w:lang w:eastAsia="ru-RU"/>
        </w:rPr>
        <w:t xml:space="preserve">переводом на русский язык.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подаче такими лицами заявления через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Госуслуги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допускается требовать копий или оригиналов документов, кроме тех, подтверждение которых в электронном виде невозможно.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 в образовательные организации иностранных граждан и лиц без гражданства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регламентируется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следующими нормативными документами: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28.12.2024 № 544-ФЗ «О внесении изменений в статьи 67 и 78 Федерального Закона «Об образовании в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</w:r>
      <w:hyperlink r:id="rId9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h</w:t>
        </w:r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val="en-US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04.03.2025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171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несении изменений в Порядок приё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обучение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hyperlink r:id="rId10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h</w:t>
        </w:r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val="en-US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04.03.2025 № 170 «Об утверждении Порядка проведения в государс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hyperlink r:id="rId11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val="en-US"/>
          </w:rPr>
          <w:t xml:space="preserve">h</w:t>
        </w:r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eastAsia="ru-RU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eastAsia="Times New Roman" w:cs="Times New Roman"/>
            <w:sz w:val="28"/>
            <w:szCs w:val="28"/>
            <w:lang w:val="en-US"/>
          </w:rPr>
        </w:r>
      </w:hyperlink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 </w:t>
      </w:r>
      <w:r/>
    </w:p>
    <w:p>
      <w:pPr>
        <w:ind w:firstLine="708"/>
        <w:jc w:val="both"/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Рособрнадзора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 05.03.2025 N 510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val="en-US"/>
        </w:rPr>
        <w:t xml:space="preserve"> </w:t>
      </w:r>
      <w:hyperlink r:id="rId12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val="en-US"/>
          </w:rPr>
          <w:t xml:space="preserve">h</w:t>
        </w:r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eastAsia="ru-RU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val="en-US"/>
          </w:rPr>
        </w:r>
      </w:hyperlink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val="en-US"/>
        </w:rPr>
      </w:r>
      <w:r>
        <w:rPr>
          <w:highlight w:val="white"/>
        </w:rPr>
      </w:r>
    </w:p>
    <w:p>
      <w:pPr>
        <w:ind w:firstLine="708"/>
        <w:jc w:val="both"/>
        <w:spacing w:after="0" w:line="330" w:lineRule="atLeast"/>
        <w:shd w:val="clear" w:color="auto" w:fill="ffffff"/>
        <w:rPr>
          <w:rFonts w:ascii="Tahoma" w:hAnsi="Tahoma" w:eastAsia="Times New Roman" w:cs="Tahoma"/>
          <w:sz w:val="21"/>
          <w:szCs w:val="21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Методические рекомендации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Рособрнадзора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21.03.2025 № 02-48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проведению тестирования на знание русского языка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yellow"/>
          <w:lang w:val="en-US"/>
        </w:rPr>
      </w:r>
      <w:hyperlink r:id="rId13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val="en-US"/>
          </w:rPr>
          <w:t xml:space="preserve">h</w:t>
        </w:r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eastAsia="ru-RU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yellow"/>
            <w:lang w:val="en-US"/>
          </w:rPr>
        </w:r>
      </w:hyperlink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white"/>
          <w:lang w:val="en-US"/>
        </w:rPr>
      </w:r>
      <w:r>
        <w:rPr>
          <w:highlight w:val="white"/>
        </w:rPr>
      </w:r>
    </w:p>
    <w:p>
      <w:pPr>
        <w:spacing w:line="330" w:lineRule="atLeast"/>
        <w:shd w:val="clear" w:color="auto" w:fill="ffffff"/>
      </w:pPr>
      <w:r/>
      <w:r/>
    </w:p>
    <w:p>
      <w:pPr>
        <w:ind w:firstLine="708"/>
        <w:spacing w:line="330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тестирующих организаций на знание русского языка на территории Белгородской области утверждён приказом министерства образования Белгородской области от 26.03.2025 № 764 «Об утверждении тестирующих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4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cs="Times New Roman"/>
            <w:sz w:val="28"/>
            <w:szCs w:val="28"/>
            <w:lang w:val="en-US"/>
          </w:rPr>
          <w:t xml:space="preserve">h</w:t>
        </w:r>
        <w:r>
          <w:rPr>
            <w:rStyle w:val="628"/>
            <w:rFonts w:ascii="Times New Roman" w:hAnsi="Times New Roman" w:cs="Times New Roman"/>
            <w:sz w:val="28"/>
            <w:szCs w:val="28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cs="Times New Roman"/>
            <w:sz w:val="28"/>
            <w:szCs w:val="28"/>
            <w:lang w:val="en-US"/>
          </w:rPr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jc w:val="both"/>
        <w:spacing w:line="330" w:lineRule="atLeas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Расписание тестирования иностранных граждан и лиц без гражданства </w:t>
      </w:r>
      <w:r>
        <w:rPr>
          <w:rFonts w:ascii="Times New Roman" w:hAnsi="Times New Roman" w:cs="Times New Roman"/>
          <w:sz w:val="28"/>
          <w:szCs w:val="28"/>
        </w:rPr>
        <w:t xml:space="preserve">на знание русского языка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Белгородской области утверждено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Белгородской области от 26.03.2025 № 76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расписания проведения тестирования»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yellow"/>
          <w:lang w:val="en-US"/>
        </w:rPr>
      </w:r>
      <w:hyperlink r:id="rId15" w:tooltip="https://shkolayasenovskayasvistovka-r31.gosweb.gosuslugi.ru/roditelyam-i-uchenikam/poleznaya-informatsiya/pravila-priema-perevoda-otchisleniya/" w:history="1"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val="en-US"/>
          </w:rPr>
          <w:t xml:space="preserve">h</w:t>
        </w:r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eastAsia="ru-RU"/>
          </w:rPr>
          <w:t xml:space="preserve">ttps://shkolayasenovskayasvistovka-r31.gosweb.gosuslugi.ru/roditelyam-i-uchenikam/poleznaya-informatsiya/pravila-priema-perevoda-otchisleniya/</w:t>
        </w:r>
        <w:r>
          <w:rPr>
            <w:rStyle w:val="628"/>
            <w:rFonts w:ascii="Times New Roman" w:hAnsi="Times New Roman" w:eastAsia="Times New Roman" w:cs="Times New Roman"/>
            <w:i/>
            <w:sz w:val="28"/>
            <w:szCs w:val="28"/>
            <w:highlight w:val="white"/>
            <w:lang w:val="en-US"/>
          </w:rPr>
        </w:r>
      </w:hyperlink>
      <w:r>
        <w:rPr>
          <w:rFonts w:ascii="Times New Roman" w:hAnsi="Times New Roman" w:eastAsia="Times New Roman" w:cs="Times New Roman"/>
          <w:i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sz w:val="28"/>
          <w:szCs w:val="28"/>
          <w:highlight w:val="yellow"/>
          <w:lang w:val="en-US"/>
        </w:rPr>
      </w:r>
      <w:r/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22"/>
    <w:link w:val="621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20"/>
    <w:next w:val="62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2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20"/>
    <w:next w:val="62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2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20"/>
    <w:next w:val="62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2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20"/>
    <w:next w:val="62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2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20"/>
    <w:next w:val="62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2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20"/>
    <w:next w:val="62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2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20"/>
    <w:next w:val="62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2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20"/>
    <w:next w:val="62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2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20"/>
    <w:next w:val="62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22"/>
    <w:link w:val="33"/>
    <w:uiPriority w:val="10"/>
    <w:rPr>
      <w:sz w:val="48"/>
      <w:szCs w:val="48"/>
    </w:rPr>
  </w:style>
  <w:style w:type="paragraph" w:styleId="35">
    <w:name w:val="Subtitle"/>
    <w:basedOn w:val="620"/>
    <w:next w:val="62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22"/>
    <w:link w:val="35"/>
    <w:uiPriority w:val="11"/>
    <w:rPr>
      <w:sz w:val="24"/>
      <w:szCs w:val="24"/>
    </w:rPr>
  </w:style>
  <w:style w:type="paragraph" w:styleId="37">
    <w:name w:val="Quote"/>
    <w:basedOn w:val="620"/>
    <w:next w:val="62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20"/>
    <w:next w:val="62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2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22"/>
    <w:link w:val="41"/>
    <w:uiPriority w:val="99"/>
  </w:style>
  <w:style w:type="paragraph" w:styleId="43">
    <w:name w:val="Footer"/>
    <w:basedOn w:val="62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22"/>
    <w:link w:val="43"/>
    <w:uiPriority w:val="99"/>
  </w:style>
  <w:style w:type="paragraph" w:styleId="45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2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22"/>
    <w:uiPriority w:val="99"/>
    <w:unhideWhenUsed/>
    <w:rPr>
      <w:vertAlign w:val="superscript"/>
    </w:rPr>
  </w:style>
  <w:style w:type="paragraph" w:styleId="177">
    <w:name w:val="endnote text"/>
    <w:basedOn w:val="62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22"/>
    <w:uiPriority w:val="99"/>
    <w:semiHidden/>
    <w:unhideWhenUsed/>
    <w:rPr>
      <w:vertAlign w:val="superscript"/>
    </w:rPr>
  </w:style>
  <w:style w:type="paragraph" w:styleId="180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paragraph" w:styleId="621">
    <w:name w:val="Heading 1"/>
    <w:basedOn w:val="620"/>
    <w:link w:val="62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character" w:styleId="625" w:customStyle="1">
    <w:name w:val="Заголовок 1 Знак"/>
    <w:basedOn w:val="622"/>
    <w:link w:val="62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26">
    <w:name w:val="Normal (Web)"/>
    <w:basedOn w:val="62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7">
    <w:name w:val="Strong"/>
    <w:basedOn w:val="622"/>
    <w:uiPriority w:val="22"/>
    <w:qFormat/>
    <w:rPr>
      <w:b/>
      <w:bCs/>
    </w:rPr>
  </w:style>
  <w:style w:type="character" w:styleId="628">
    <w:name w:val="Hyperlink"/>
    <w:basedOn w:val="622"/>
    <w:uiPriority w:val="99"/>
    <w:semiHidden/>
    <w:unhideWhenUsed/>
    <w:rPr>
      <w:color w:val="0000ff"/>
      <w:u w:val="single"/>
    </w:rPr>
  </w:style>
  <w:style w:type="character" w:styleId="629" w:customStyle="1">
    <w:name w:val="Название объекта1"/>
    <w:basedOn w:val="622"/>
  </w:style>
  <w:style w:type="paragraph" w:styleId="630">
    <w:name w:val="Balloon Text"/>
    <w:basedOn w:val="620"/>
    <w:link w:val="63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1" w:customStyle="1">
    <w:name w:val="Текст выноски Знак"/>
    <w:basedOn w:val="622"/>
    <w:link w:val="630"/>
    <w:uiPriority w:val="99"/>
    <w:semiHidden/>
    <w:rPr>
      <w:rFonts w:ascii="Tahoma" w:hAnsi="Tahoma" w:cs="Tahoma"/>
      <w:sz w:val="16"/>
      <w:szCs w:val="16"/>
    </w:rPr>
  </w:style>
  <w:style w:type="paragraph" w:styleId="632">
    <w:name w:val="List Paragraph"/>
    <w:basedOn w:val="62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shkolayasenovskayasvistovka-r31.gosweb.gosuslugi.ru/roditelyam-i-uchenikam/poleznaya-informatsiya/pravila-priema-perevoda-otchisleniya/" TargetMode="External"/><Relationship Id="rId10" Type="http://schemas.openxmlformats.org/officeDocument/2006/relationships/hyperlink" Target="https://shkolayasenovskayasvistovka-r31.gosweb.gosuslugi.ru/roditelyam-i-uchenikam/poleznaya-informatsiya/pravila-priema-perevoda-otchisleniya/" TargetMode="External"/><Relationship Id="rId11" Type="http://schemas.openxmlformats.org/officeDocument/2006/relationships/hyperlink" Target="https://shkolayasenovskayasvistovka-r31.gosweb.gosuslugi.ru/roditelyam-i-uchenikam/poleznaya-informatsiya/pravila-priema-perevoda-otchisleniya/" TargetMode="External"/><Relationship Id="rId12" Type="http://schemas.openxmlformats.org/officeDocument/2006/relationships/hyperlink" Target="https://shkolayasenovskayasvistovka-r31.gosweb.gosuslugi.ru/roditelyam-i-uchenikam/poleznaya-informatsiya/pravila-priema-perevoda-otchisleniya/" TargetMode="External"/><Relationship Id="rId13" Type="http://schemas.openxmlformats.org/officeDocument/2006/relationships/hyperlink" Target="https://shkolayasenovskayasvistovka-r31.gosweb.gosuslugi.ru/roditelyam-i-uchenikam/poleznaya-informatsiya/pravila-priema-perevoda-otchisleniya/" TargetMode="External"/><Relationship Id="rId14" Type="http://schemas.openxmlformats.org/officeDocument/2006/relationships/hyperlink" Target="https://shkolayasenovskayasvistovka-r31.gosweb.gosuslugi.ru/roditelyam-i-uchenikam/poleznaya-informatsiya/pravila-priema-perevoda-otchisleniya/" TargetMode="External"/><Relationship Id="rId15" Type="http://schemas.openxmlformats.org/officeDocument/2006/relationships/hyperlink" Target="https://shkolayasenovskayasvistovka-r31.gosweb.gosuslugi.ru/roditelyam-i-uchenikam/poleznaya-informatsiya/pravila-priema-perevoda-otchisleniy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diakov.net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revision>16</cp:revision>
  <dcterms:created xsi:type="dcterms:W3CDTF">2025-03-31T04:37:00Z</dcterms:created>
  <dcterms:modified xsi:type="dcterms:W3CDTF">2025-03-31T19:01:55Z</dcterms:modified>
</cp:coreProperties>
</file>